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附件3：   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子活动支出预算明细表</w:t>
      </w:r>
    </w:p>
    <w:p>
      <w:pPr>
        <w:jc w:val="left"/>
        <w:rPr>
          <w:rFonts w:ascii="仿宋_GB2312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子活动名称：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/>
          <w:szCs w:val="21"/>
        </w:rPr>
        <w:t xml:space="preserve">   单位：万元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289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  活</w:t>
            </w:r>
            <w:r>
              <w:rPr>
                <w:rFonts w:ascii="宋体" w:hAnsi="宋体"/>
                <w:sz w:val="28"/>
                <w:szCs w:val="28"/>
              </w:rPr>
              <w:t>动</w:t>
            </w:r>
            <w:r>
              <w:rPr>
                <w:rFonts w:hint="eastAsia" w:ascii="宋体" w:hAnsi="宋体"/>
                <w:sz w:val="28"/>
                <w:szCs w:val="28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289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子活</w:t>
            </w:r>
            <w:r>
              <w:rPr>
                <w:rFonts w:ascii="宋体" w:hAnsi="宋体"/>
                <w:sz w:val="28"/>
                <w:szCs w:val="28"/>
              </w:rPr>
              <w:t>动</w:t>
            </w:r>
            <w:r>
              <w:rPr>
                <w:rFonts w:hint="eastAsia" w:ascii="宋体" w:hAnsi="宋体"/>
                <w:sz w:val="28"/>
                <w:szCs w:val="28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289"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</w:t>
            </w:r>
          </w:p>
        </w:tc>
        <w:tc>
          <w:tcPr>
            <w:tcW w:w="2131" w:type="dxa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648" w:type="dxa"/>
            <w:vMerge w:val="continue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289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测算依据及说明</w:t>
            </w:r>
          </w:p>
        </w:tc>
        <w:tc>
          <w:tcPr>
            <w:tcW w:w="7334" w:type="dxa"/>
            <w:gridSpan w:val="2"/>
            <w:vAlign w:val="top"/>
          </w:tcPr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1.……</w:t>
            </w:r>
          </w:p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2.……</w:t>
            </w:r>
          </w:p>
          <w:p>
            <w:pPr>
              <w:spacing w:before="100" w:beforeAutospacing="1" w:after="289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1567"/>
    <w:rsid w:val="154E15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2018-11-05T04:11:00Z</dcterms:created>
  <dc:creator>苑磊</dc:creator>
  <cp:lastModifiedBy>苑磊</cp:lastModifiedBy>
  <dcterms:modified xsi:type="dcterms:W3CDTF">2018-11-05T04:12:12Z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